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jc w:val="center"/>
        <w:rPr>
          <w:rFonts w:ascii="华文中宋" w:hAnsi="华文中宋" w:eastAsia="华文中宋" w:cs="宋体"/>
          <w:bCs/>
          <w:sz w:val="44"/>
          <w:szCs w:val="44"/>
        </w:rPr>
      </w:pPr>
      <w:bookmarkStart w:id="0" w:name="_GoBack"/>
      <w:r>
        <w:rPr>
          <w:rFonts w:hint="eastAsia" w:ascii="华文中宋" w:hAnsi="华文中宋" w:eastAsia="华文中宋" w:cs="宋体"/>
          <w:bCs/>
          <w:sz w:val="44"/>
          <w:szCs w:val="44"/>
        </w:rPr>
        <w:t>辽宁省非税收入收缴电子化管理暂行办法</w:t>
      </w:r>
    </w:p>
    <w:bookmarkEnd w:id="0"/>
    <w:p>
      <w:pPr>
        <w:spacing w:line="540" w:lineRule="exact"/>
        <w:ind w:firstLine="643" w:firstLineChars="200"/>
        <w:rPr>
          <w:rFonts w:ascii="黑体" w:hAnsi="宋体" w:eastAsia="黑体" w:cs="宋体"/>
          <w:b/>
          <w:bCs/>
          <w:sz w:val="32"/>
          <w:szCs w:val="32"/>
        </w:rPr>
      </w:pPr>
    </w:p>
    <w:p>
      <w:pPr>
        <w:numPr>
          <w:ilvl w:val="0"/>
          <w:numId w:val="1"/>
        </w:numPr>
        <w:spacing w:line="540" w:lineRule="exact"/>
        <w:jc w:val="center"/>
        <w:rPr>
          <w:rFonts w:ascii="黑体" w:hAnsi="黑体" w:eastAsia="黑体"/>
          <w:bCs/>
          <w:sz w:val="32"/>
          <w:szCs w:val="32"/>
        </w:rPr>
      </w:pPr>
      <w:r>
        <w:rPr>
          <w:rFonts w:hint="eastAsia" w:ascii="黑体" w:hAnsi="黑体" w:eastAsia="黑体" w:cs="宋体"/>
          <w:bCs/>
          <w:sz w:val="32"/>
          <w:szCs w:val="32"/>
        </w:rPr>
        <w:t xml:space="preserve"> 总  则</w:t>
      </w:r>
    </w:p>
    <w:p>
      <w:pPr>
        <w:spacing w:line="540" w:lineRule="exact"/>
        <w:ind w:firstLine="640" w:firstLineChars="200"/>
        <w:rPr>
          <w:rFonts w:ascii="黑体" w:hAnsi="黑体" w:eastAsia="黑体"/>
          <w:bCs/>
          <w:sz w:val="32"/>
          <w:szCs w:val="32"/>
        </w:rPr>
      </w:pPr>
    </w:p>
    <w:p>
      <w:pPr>
        <w:numPr>
          <w:ilvl w:val="0"/>
          <w:numId w:val="2"/>
        </w:numPr>
        <w:spacing w:line="5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为规范全省非税收入收缴电子化业务，保障各业务方合法权利和义务，根据《财政部关于印发&lt;政府非税收入管理办法&gt;的通知》（财税〔2016〕33号）《财政部关于加快推进地方政府非税收入收缴电子化管理工作的通知》（财库〔2017〕7号）《财政部关于印发&lt;关于稳步推进财政电子票据管理改革的试点方案&gt;的通知》（财综〔2017〕32号）《关于印发辽宁省非税收入收缴电子化管理实施方案的通知》（辽财库〔2019〕212号）等文件规定，结合全省实际，制定本办法。</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 xml:space="preserve"> 非税收入</w:t>
      </w:r>
      <w:r>
        <w:rPr>
          <w:rFonts w:hint="eastAsia" w:ascii="仿宋_GB2312" w:hAnsi="仿宋_GB2312" w:eastAsia="仿宋_GB2312" w:cs="仿宋_GB2312"/>
          <w:sz w:val="32"/>
          <w:szCs w:val="32"/>
        </w:rPr>
        <w:t>收缴</w:t>
      </w:r>
      <w:r>
        <w:rPr>
          <w:rFonts w:hint="eastAsia" w:ascii="仿宋_GB2312" w:hAnsi="仿宋_GB2312" w:eastAsia="仿宋_GB2312" w:cs="仿宋_GB2312"/>
          <w:bCs/>
          <w:sz w:val="32"/>
          <w:szCs w:val="32"/>
        </w:rPr>
        <w:t>电子化管理是指</w:t>
      </w:r>
      <w:r>
        <w:rPr>
          <w:rFonts w:hint="eastAsia" w:ascii="仿宋_GB2312" w:hAnsi="仿宋_GB2312" w:eastAsia="仿宋_GB2312" w:cs="仿宋_GB2312"/>
          <w:sz w:val="32"/>
          <w:szCs w:val="32"/>
        </w:rPr>
        <w:t>利用现代信息网络技术，以经过数字签名的合法、有效的电子文件为依据，全流程使用电子网络和信息化方式办理非税收入收缴业务的管理模式。</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各级财政部门应将电子化收缴作为非税收入收缴的主要方式。</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中央和省有明确规定、没有明确的执收单位、涉密以及具有偶然性等特殊性质的非税财政收入，可实行就地缴库（人民银行国库）。通过就地缴库方式收缴的非税收入不纳入非税收入收缴管理系统，各级财政部门应积极创造条件，按照统一的数据规范，从同级人民银行国库获取缴款人、缴款金额、项目、收入分类科目等信息。</w:t>
      </w:r>
    </w:p>
    <w:p>
      <w:pPr>
        <w:spacing w:line="540" w:lineRule="exact"/>
        <w:rPr>
          <w:rFonts w:ascii="仿宋" w:hAnsi="仿宋" w:eastAsia="仿宋"/>
          <w:sz w:val="32"/>
          <w:szCs w:val="32"/>
        </w:rPr>
      </w:pPr>
    </w:p>
    <w:p>
      <w:pPr>
        <w:numPr>
          <w:ilvl w:val="0"/>
          <w:numId w:val="1"/>
        </w:numPr>
        <w:spacing w:line="540" w:lineRule="exact"/>
        <w:jc w:val="center"/>
        <w:rPr>
          <w:rFonts w:ascii="黑体" w:hAnsi="黑体" w:eastAsia="黑体"/>
          <w:bCs/>
          <w:sz w:val="32"/>
          <w:szCs w:val="32"/>
        </w:rPr>
      </w:pPr>
      <w:r>
        <w:rPr>
          <w:rFonts w:hint="eastAsia" w:ascii="黑体" w:hAnsi="黑体" w:eastAsia="黑体" w:cs="宋体"/>
          <w:bCs/>
          <w:sz w:val="32"/>
          <w:szCs w:val="32"/>
        </w:rPr>
        <w:t>部门职责</w:t>
      </w:r>
    </w:p>
    <w:p>
      <w:pPr>
        <w:spacing w:line="540" w:lineRule="exact"/>
        <w:rPr>
          <w:rFonts w:ascii="黑体" w:hAnsi="黑体" w:eastAsia="黑体"/>
          <w:bCs/>
          <w:sz w:val="32"/>
          <w:szCs w:val="32"/>
        </w:rPr>
      </w:pP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各级财政部门</w:t>
      </w:r>
      <w:r>
        <w:rPr>
          <w:rFonts w:hint="eastAsia" w:ascii="仿宋_GB2312" w:hAnsi="仿宋_GB2312" w:eastAsia="仿宋_GB2312" w:cs="仿宋_GB2312"/>
          <w:bCs/>
          <w:sz w:val="32"/>
          <w:szCs w:val="32"/>
        </w:rPr>
        <w:t>是非税收入收缴电子化管理业务的主管部门，主要负责建立机制、服务保障、监督管理等工作。</w:t>
      </w:r>
      <w:r>
        <w:rPr>
          <w:rFonts w:hint="eastAsia" w:ascii="仿宋_GB2312" w:hAnsi="仿宋_GB2312" w:eastAsia="仿宋_GB2312" w:cs="仿宋_GB2312"/>
          <w:sz w:val="32"/>
          <w:szCs w:val="32"/>
        </w:rPr>
        <w:t>具体包括：规范收费项目，制定年度非税收入项目目录和标准；组织确定本级有关业务代理银行，管理有关银行账户，监督代理银行业务开展；非税收入财政专户账务核算；服务本级执收单位，配合开展有关系统衔接，为业务有序、规范开展提供保障；规范本级财政电子票据的使用；组织业务培训等。</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省财政厅，负责全省非税收入收缴电子化管理实施推进工作，组织制定相关制度，制定全省统一的业务流程；组织全省统一的非税收入收缴和财政电子票据系统的开发建设、运行维护，提供网络和信息安全保障；组织建立全省非税收入项目库，并向财政部注册执收项目识别码；组织省内有关业务代理银行与全国统一的缴款渠道对接，引入第三方支付平台不断便利公众缴款等。</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各市财政局，负责根据省财政厅有关工作方案和有关工作要求，组织本地区非税收入收缴电子化管理的实施工作；结合自身实际完善本地区相关制度，规范开展收费项目管理，保障收费合法合规；管理本地区代理银行，加强非税收入财政专户核算；动态总结本地区在实施和业务开展过程中遇到的问题和特殊业务需求，促进全省系统不断完善、流程更加科学合理。</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（三）县及以下财政部门，负责按省、市有关工作要求做好非税收入收缴电子化管理的具体实施工作；在工作中动态反映遇到的问题和有关需求。</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各级执收单位主要负责</w:t>
      </w:r>
      <w:r>
        <w:rPr>
          <w:rFonts w:hint="eastAsia" w:ascii="仿宋_GB2312" w:hAnsi="仿宋_GB2312" w:eastAsia="仿宋_GB2312" w:cs="仿宋_GB2312"/>
          <w:bCs/>
          <w:sz w:val="32"/>
          <w:szCs w:val="32"/>
        </w:rPr>
        <w:t>按非税收入项目目录，及时足额征收非税收入等工作。具体包括：</w:t>
      </w:r>
      <w:r>
        <w:rPr>
          <w:rFonts w:hint="eastAsia" w:ascii="仿宋_GB2312" w:hAnsi="仿宋_GB2312" w:eastAsia="仿宋_GB2312" w:cs="仿宋_GB2312"/>
          <w:sz w:val="32"/>
          <w:szCs w:val="32"/>
        </w:rPr>
        <w:t>配合同级财政部门开展非税收入收缴电子化实施，按有关工作方案和要求采集信息、切换系统；负责规范办理本单位非税收入有关工作，确保非税收入资金及时、足额征缴；研究合理简化业务流程，为缴纳义务人提供优质、便捷、高效的服务；负责建立健全各项内部管理和监督制约机制，确保资金安全。</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（一）主管部门，负责组织本部门配合同级财政部门开展非税收入收缴电子化实施工作，负责组织研究本部门系统与财政非税收入收缴系统衔接有关工作，负责监督本部门执收单位规范使用财政电子票据。</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（二）执收单位，结合本单位实际，开展本单位业务系统与财政非税收入收缴系统有效衔接，按要求</w:t>
      </w:r>
      <w:r>
        <w:rPr>
          <w:rFonts w:ascii="仿宋_GB2312" w:hAnsi="仿宋_GB2312" w:eastAsia="仿宋_GB2312" w:cs="仿宋_GB2312"/>
          <w:sz w:val="32"/>
          <w:szCs w:val="32"/>
        </w:rPr>
        <w:t>公示非税收入项目、标准及文件依据</w:t>
      </w:r>
      <w:r>
        <w:rPr>
          <w:rFonts w:hint="eastAsia" w:ascii="仿宋_GB2312" w:hAnsi="仿宋_GB2312" w:eastAsia="仿宋_GB2312" w:cs="仿宋_GB2312"/>
          <w:sz w:val="32"/>
          <w:szCs w:val="32"/>
        </w:rPr>
        <w:t>，负责</w:t>
      </w:r>
      <w:r>
        <w:rPr>
          <w:rFonts w:ascii="仿宋_GB2312" w:hAnsi="仿宋_GB2312" w:eastAsia="仿宋_GB2312" w:cs="仿宋_GB2312"/>
          <w:sz w:val="32"/>
          <w:szCs w:val="32"/>
        </w:rPr>
        <w:t>督促</w:t>
      </w:r>
      <w:r>
        <w:rPr>
          <w:rFonts w:hint="eastAsia" w:ascii="仿宋_GB2312" w:hAnsi="仿宋_GB2312" w:eastAsia="仿宋_GB2312" w:cs="仿宋_GB2312"/>
          <w:sz w:val="32"/>
          <w:szCs w:val="32"/>
        </w:rPr>
        <w:t>缴纳义务人</w:t>
      </w:r>
      <w:r>
        <w:rPr>
          <w:rFonts w:ascii="仿宋_GB2312" w:hAnsi="仿宋_GB2312" w:eastAsia="仿宋_GB2312" w:cs="仿宋_GB2312"/>
          <w:sz w:val="32"/>
          <w:szCs w:val="32"/>
        </w:rPr>
        <w:t>及时、足额缴纳非税收入</w:t>
      </w:r>
      <w:r>
        <w:rPr>
          <w:rFonts w:hint="eastAsia" w:ascii="仿宋_GB2312" w:hAnsi="仿宋_GB2312" w:eastAsia="仿宋_GB2312" w:cs="仿宋_GB2312"/>
          <w:sz w:val="32"/>
          <w:szCs w:val="32"/>
        </w:rPr>
        <w:t>，规范使用财政电子票据，负责具体</w:t>
      </w:r>
      <w:r>
        <w:rPr>
          <w:rFonts w:ascii="仿宋_GB2312" w:hAnsi="仿宋_GB2312" w:eastAsia="仿宋_GB2312" w:cs="仿宋_GB2312"/>
          <w:sz w:val="32"/>
          <w:szCs w:val="32"/>
        </w:rPr>
        <w:t>办理本单位非税收入</w:t>
      </w:r>
      <w:r>
        <w:rPr>
          <w:rFonts w:hint="eastAsia" w:ascii="仿宋_GB2312" w:hAnsi="仿宋_GB2312" w:eastAsia="仿宋_GB2312" w:cs="仿宋_GB2312"/>
          <w:sz w:val="32"/>
          <w:szCs w:val="32"/>
        </w:rPr>
        <w:t>收缴</w:t>
      </w:r>
      <w:r>
        <w:rPr>
          <w:rFonts w:ascii="仿宋_GB2312" w:hAnsi="仿宋_GB2312" w:eastAsia="仿宋_GB2312" w:cs="仿宋_GB2312"/>
          <w:sz w:val="32"/>
          <w:szCs w:val="32"/>
        </w:rPr>
        <w:t>及退</w:t>
      </w:r>
      <w:r>
        <w:rPr>
          <w:rFonts w:hint="eastAsia" w:ascii="仿宋_GB2312" w:hAnsi="仿宋_GB2312" w:eastAsia="仿宋_GB2312" w:cs="仿宋_GB2312"/>
          <w:sz w:val="32"/>
          <w:szCs w:val="32"/>
        </w:rPr>
        <w:t>费</w:t>
      </w:r>
      <w:r>
        <w:rPr>
          <w:rFonts w:ascii="仿宋_GB2312" w:hAnsi="仿宋_GB2312" w:eastAsia="仿宋_GB2312" w:cs="仿宋_GB2312"/>
          <w:sz w:val="32"/>
          <w:szCs w:val="32"/>
        </w:rPr>
        <w:t>业务</w:t>
      </w:r>
      <w:r>
        <w:rPr>
          <w:rFonts w:hint="eastAsia" w:ascii="仿宋_GB2312" w:hAnsi="仿宋_GB2312" w:eastAsia="仿宋_GB2312" w:cs="仿宋_GB2312"/>
          <w:sz w:val="32"/>
          <w:szCs w:val="32"/>
        </w:rPr>
        <w:t>。</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 xml:space="preserve"> 缴纳义务人包括单位和个人，应当按照规定的数额、时限缴纳非税收入款项，不得逃避缴纳义务。缴纳义务人有权了解非税收入征收及管理政策，对执收单位</w:t>
      </w:r>
      <w:r>
        <w:rPr>
          <w:rFonts w:ascii="仿宋_GB2312" w:hAnsi="仿宋_GB2312" w:eastAsia="仿宋_GB2312" w:cs="仿宋_GB2312"/>
          <w:bCs/>
          <w:sz w:val="32"/>
          <w:szCs w:val="32"/>
        </w:rPr>
        <w:t>违反国家政策规定权限擅自设立非税收入项目、扩大征收范围、提高</w:t>
      </w:r>
      <w:r>
        <w:rPr>
          <w:rFonts w:hint="eastAsia" w:ascii="仿宋_GB2312" w:hAnsi="仿宋_GB2312" w:eastAsia="仿宋_GB2312" w:cs="仿宋_GB2312"/>
          <w:bCs/>
          <w:sz w:val="32"/>
          <w:szCs w:val="32"/>
        </w:rPr>
        <w:t>收费</w:t>
      </w:r>
      <w:r>
        <w:rPr>
          <w:rFonts w:ascii="仿宋_GB2312" w:hAnsi="仿宋_GB2312" w:eastAsia="仿宋_GB2312" w:cs="仿宋_GB2312"/>
          <w:bCs/>
          <w:sz w:val="32"/>
          <w:szCs w:val="32"/>
        </w:rPr>
        <w:t>标准以及不按规定使用票据等行为，有权拒绝缴款，并可向财政、审计、监察等部门举报。</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 xml:space="preserve"> 非税收入业务代理银行应按有关管理规章、协议，积极配合财政部门、执收单位、缴纳义务人规范办理业务。</w:t>
      </w:r>
      <w:r>
        <w:rPr>
          <w:rFonts w:hint="eastAsia" w:ascii="仿宋_GB2312" w:hAnsi="仿宋_GB2312" w:eastAsia="仿宋_GB2312" w:cs="仿宋_GB2312"/>
          <w:sz w:val="32"/>
          <w:szCs w:val="32"/>
        </w:rPr>
        <w:t>具体包括：配合财政部门，组织区域内系统建设，开展非税收入收缴电子化管理工作；建立健全非税收入有关业务内控制度；及时办理非税收入收缴、对账、清分和信息反馈等业务；接受财政部门和人民银行的监管；负责本行非税收入收缴业务的培训工作，为缴纳义务人和执收单位提供优质、便捷、高效的服务。</w:t>
      </w:r>
    </w:p>
    <w:p>
      <w:pPr>
        <w:spacing w:line="540" w:lineRule="exact"/>
        <w:ind w:firstLine="640" w:firstLineChars="200"/>
        <w:rPr>
          <w:rFonts w:ascii="仿宋" w:hAnsi="仿宋" w:eastAsia="仿宋"/>
          <w:sz w:val="32"/>
          <w:szCs w:val="32"/>
        </w:rPr>
      </w:pPr>
    </w:p>
    <w:p>
      <w:pPr>
        <w:numPr>
          <w:ilvl w:val="0"/>
          <w:numId w:val="1"/>
        </w:numPr>
        <w:spacing w:line="540" w:lineRule="exact"/>
        <w:jc w:val="center"/>
        <w:rPr>
          <w:rFonts w:ascii="黑体" w:hAnsi="黑体" w:eastAsia="黑体" w:cs="宋体"/>
          <w:bCs/>
          <w:sz w:val="32"/>
          <w:szCs w:val="32"/>
        </w:rPr>
      </w:pPr>
      <w:r>
        <w:rPr>
          <w:rFonts w:hint="eastAsia" w:ascii="黑体" w:hAnsi="黑体" w:eastAsia="黑体" w:cs="宋体"/>
          <w:bCs/>
          <w:sz w:val="32"/>
          <w:szCs w:val="32"/>
        </w:rPr>
        <w:t>银行账户</w:t>
      </w:r>
    </w:p>
    <w:p>
      <w:pPr>
        <w:spacing w:line="540" w:lineRule="exact"/>
        <w:ind w:left="640"/>
        <w:rPr>
          <w:rFonts w:ascii="仿宋_GB2312" w:hAnsi="仿宋_GB2312" w:eastAsia="仿宋_GB2312" w:cs="仿宋_GB2312"/>
          <w:sz w:val="32"/>
          <w:szCs w:val="32"/>
        </w:rPr>
      </w:pP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各级财政部门应严格遵循国库集中收付制度，将非税收入财政专户纳入国库单一账户体系，并规范使用、管理。</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市、县财政部门应在非税收入财政专户范围内选择一个作为非税收入清分账户。清分账户主要用于接收和清分非本级代理银行收缴的资金。考虑到系统稳定性和资金安全性，清分账户一经指定原则上在同一合同期内不应变更，若确需变更（含合同到期），由市财政正式行文报送省财政厅批准。</w:t>
      </w:r>
    </w:p>
    <w:p>
      <w:pPr>
        <w:numPr>
          <w:ilvl w:val="0"/>
          <w:numId w:val="2"/>
        </w:numPr>
        <w:spacing w:line="5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各级财政部门不得私自设立除非税收入财政专户外的非税收入收缴相关账户、过渡户，执收单位不得设立非税收入收缴相关账户、过渡户，代理银行不得私自为上述单位开立上述有关账户。</w:t>
      </w:r>
    </w:p>
    <w:p>
      <w:pPr>
        <w:numPr>
          <w:ilvl w:val="0"/>
          <w:numId w:val="2"/>
        </w:numPr>
        <w:spacing w:line="5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实施非税收入收缴电子化改革后，各级财政部门应逐步变更原非税收入财政专户信息，并不再对外提供，以避免误缴、不规范缴款等行为。</w:t>
      </w:r>
    </w:p>
    <w:p>
      <w:pPr>
        <w:spacing w:line="540" w:lineRule="exact"/>
        <w:rPr>
          <w:rFonts w:ascii="黑体" w:hAnsi="黑体" w:eastAsia="黑体" w:cs="宋体"/>
          <w:bCs/>
          <w:sz w:val="32"/>
          <w:szCs w:val="32"/>
        </w:rPr>
      </w:pPr>
    </w:p>
    <w:p>
      <w:pPr>
        <w:numPr>
          <w:ilvl w:val="0"/>
          <w:numId w:val="1"/>
        </w:numPr>
        <w:spacing w:line="540" w:lineRule="exact"/>
        <w:jc w:val="center"/>
        <w:rPr>
          <w:rFonts w:ascii="黑体" w:hAnsi="黑体" w:eastAsia="黑体" w:cs="宋体"/>
          <w:bCs/>
          <w:sz w:val="32"/>
          <w:szCs w:val="32"/>
        </w:rPr>
      </w:pPr>
      <w:r>
        <w:rPr>
          <w:rFonts w:hint="eastAsia" w:ascii="宋体" w:hAnsi="宋体" w:cs="宋体"/>
          <w:b/>
          <w:bCs/>
          <w:sz w:val="32"/>
          <w:szCs w:val="32"/>
        </w:rPr>
        <w:t>收缴管理</w:t>
      </w:r>
    </w:p>
    <w:p>
      <w:pPr>
        <w:spacing w:line="540" w:lineRule="exact"/>
        <w:rPr>
          <w:rFonts w:ascii="黑体" w:hAnsi="黑体" w:eastAsia="黑体" w:cs="宋体"/>
          <w:bCs/>
          <w:sz w:val="32"/>
          <w:szCs w:val="32"/>
        </w:rPr>
      </w:pP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非税收入由法律、法规、规章规定的部门、单位征收；法律、法规、规章没有规定征收部门、单位的，由财政部门直接征收；财政部门不能直接征收的，可以委托有关部门、单位征收。征收部门、单位和受委托单位统称执收单位。</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执收单位组织非税收入收缴，收缴方式有直接缴户和集中汇缴两种。直接缴户指缴纳义务人将款项直接缴入非税收入财政专户，是非税收入的主要征收方式。集中汇缴指执收单位向缴纳义务人收取款项后，在规定时限内按直接缴户流程缴入财政专户。</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于收款地点分散、缴纳义务人不固定等情况复杂的非税收入项目，如暂时不具备直接缴户条件，经审批（审批表见附件1）执收单位可以暂时采取集中汇缴方式收缴。执收单位应积极开展信息化建设，逐步推进业务系统与非税收入收缴系统的对接，实现直接缴户。</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非税收入收缴电子化直接缴户主要业务流程（附件2）：</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（一）开单：执收单位通过非税收入收缴系统为缴纳义务人开具含缴款识别码的</w:t>
      </w:r>
      <w:r>
        <w:rPr>
          <w:rFonts w:hint="eastAsia" w:ascii="仿宋_GB2312" w:hAnsi="微软雅黑" w:eastAsia="仿宋_GB2312"/>
          <w:bCs/>
          <w:spacing w:val="8"/>
          <w:sz w:val="32"/>
          <w:szCs w:val="32"/>
        </w:rPr>
        <w:t>缴款通知书。</w:t>
      </w:r>
      <w:r>
        <w:rPr>
          <w:rFonts w:hint="eastAsia" w:ascii="仿宋_GB2312" w:hAnsi="仿宋_GB2312" w:eastAsia="仿宋_GB2312" w:cs="仿宋_GB2312"/>
          <w:sz w:val="32"/>
          <w:szCs w:val="32"/>
        </w:rPr>
        <w:t>缴款识别码</w:t>
      </w:r>
      <w:r>
        <w:rPr>
          <w:rFonts w:hint="eastAsia" w:ascii="仿宋_GB2312" w:hAnsi="微软雅黑" w:eastAsia="仿宋_GB2312"/>
          <w:bCs/>
          <w:spacing w:val="8"/>
          <w:sz w:val="32"/>
          <w:szCs w:val="32"/>
        </w:rPr>
        <w:t>是缴款通知书的唯一标识，包含：执收单位、收费项目、资金性质、分成比例、收入级次、收费金额等重要信息。为服务各执收单位，提高工作效率，每年非税收缴</w:t>
      </w:r>
      <w:r>
        <w:rPr>
          <w:rFonts w:hint="eastAsia" w:ascii="仿宋_GB2312" w:hAnsi="仿宋_GB2312" w:eastAsia="仿宋_GB2312" w:cs="仿宋_GB2312"/>
          <w:sz w:val="32"/>
          <w:szCs w:val="32"/>
        </w:rPr>
        <w:t>业务频次低于3笔的执收单位，可由财政部门或经财政部门授权的单位代为开单</w:t>
      </w:r>
      <w:r>
        <w:rPr>
          <w:rFonts w:hint="eastAsia" w:ascii="仿宋_GB2312" w:hAnsi="微软雅黑" w:eastAsia="仿宋_GB2312"/>
          <w:bCs/>
          <w:spacing w:val="8"/>
          <w:sz w:val="32"/>
          <w:szCs w:val="32"/>
        </w:rPr>
        <w:t>。对于国有资本收益等特殊项目的收款可适当放宽缴款时限。</w:t>
      </w:r>
    </w:p>
    <w:p>
      <w:pPr>
        <w:spacing w:line="540" w:lineRule="exact"/>
        <w:ind w:firstLine="640" w:firstLineChars="200"/>
        <w:rPr>
          <w:rFonts w:ascii="仿宋_GB2312" w:hAnsi="微软雅黑" w:eastAsia="仿宋_GB2312"/>
          <w:bCs/>
          <w:spacing w:val="8"/>
          <w:sz w:val="32"/>
          <w:szCs w:val="32"/>
        </w:rPr>
      </w:pPr>
      <w:r>
        <w:rPr>
          <w:rFonts w:hint="eastAsia" w:ascii="仿宋_GB2312" w:hAnsi="仿宋_GB2312" w:eastAsia="仿宋_GB2312" w:cs="仿宋_GB2312"/>
          <w:sz w:val="32"/>
          <w:szCs w:val="32"/>
        </w:rPr>
        <w:t>（二）缴款：缴纳义务人根据</w:t>
      </w:r>
      <w:r>
        <w:rPr>
          <w:rFonts w:hint="eastAsia" w:ascii="仿宋_GB2312" w:hAnsi="微软雅黑" w:eastAsia="仿宋_GB2312"/>
          <w:bCs/>
          <w:spacing w:val="8"/>
          <w:sz w:val="32"/>
          <w:szCs w:val="32"/>
        </w:rPr>
        <w:t>缴款通知书于七日内，通过现金、转账、银行汇兑、协议转款或第三方支付等方式进行缴款，缴纳义务人是单位的，原则上不允许现金交易。</w:t>
      </w:r>
    </w:p>
    <w:p>
      <w:pPr>
        <w:spacing w:line="540" w:lineRule="exact"/>
        <w:ind w:firstLine="672" w:firstLineChars="200"/>
        <w:rPr>
          <w:rFonts w:ascii="仿宋_GB2312" w:hAnsi="微软雅黑" w:eastAsia="仿宋_GB2312"/>
          <w:bCs/>
          <w:spacing w:val="8"/>
          <w:sz w:val="32"/>
          <w:szCs w:val="32"/>
        </w:rPr>
      </w:pPr>
      <w:r>
        <w:rPr>
          <w:rFonts w:hint="eastAsia" w:ascii="仿宋_GB2312" w:hAnsi="微软雅黑" w:eastAsia="仿宋_GB2312"/>
          <w:bCs/>
          <w:spacing w:val="8"/>
          <w:sz w:val="32"/>
          <w:szCs w:val="32"/>
        </w:rPr>
        <w:t>（三）确认</w:t>
      </w:r>
      <w:r>
        <w:rPr>
          <w:rFonts w:hint="eastAsia" w:ascii="仿宋_GB2312" w:hAnsi="仿宋_GB2312" w:eastAsia="仿宋_GB2312" w:cs="仿宋_GB2312"/>
          <w:sz w:val="32"/>
          <w:szCs w:val="32"/>
        </w:rPr>
        <w:t>：缴款完成后，执收单位可以通过互联网访问辽宁省非税收入收缴（财政电子票据）系统查询</w:t>
      </w:r>
      <w:r>
        <w:rPr>
          <w:rFonts w:hint="eastAsia" w:ascii="仿宋_GB2312" w:hAnsi="微软雅黑" w:eastAsia="仿宋_GB2312"/>
          <w:bCs/>
          <w:spacing w:val="8"/>
          <w:sz w:val="32"/>
          <w:szCs w:val="32"/>
        </w:rPr>
        <w:t>确认缴款状态。</w:t>
      </w:r>
    </w:p>
    <w:p>
      <w:pPr>
        <w:spacing w:line="540" w:lineRule="exact"/>
        <w:ind w:firstLine="672" w:firstLineChars="200"/>
        <w:rPr>
          <w:rFonts w:ascii="仿宋_GB2312" w:hAnsi="微软雅黑" w:eastAsia="仿宋_GB2312"/>
          <w:bCs/>
          <w:spacing w:val="8"/>
          <w:sz w:val="32"/>
          <w:szCs w:val="32"/>
        </w:rPr>
      </w:pPr>
      <w:r>
        <w:rPr>
          <w:rFonts w:hint="eastAsia" w:ascii="仿宋_GB2312" w:hAnsi="微软雅黑" w:eastAsia="仿宋_GB2312"/>
          <w:bCs/>
          <w:spacing w:val="8"/>
          <w:sz w:val="32"/>
          <w:szCs w:val="32"/>
        </w:rPr>
        <w:t>（四）票据：缴款成功后，</w:t>
      </w:r>
      <w:r>
        <w:rPr>
          <w:rFonts w:hint="eastAsia" w:ascii="仿宋_GB2312" w:hAnsi="仿宋_GB2312" w:eastAsia="仿宋_GB2312" w:cs="仿宋_GB2312"/>
          <w:sz w:val="32"/>
          <w:szCs w:val="32"/>
        </w:rPr>
        <w:t>缴纳义务人可通过微信小程序</w:t>
      </w:r>
      <w:r>
        <w:rPr>
          <w:rFonts w:hint="eastAsia" w:ascii="仿宋_GB2312" w:hAnsi="微软雅黑" w:eastAsia="仿宋_GB2312"/>
          <w:bCs/>
          <w:spacing w:val="8"/>
          <w:sz w:val="32"/>
          <w:szCs w:val="32"/>
        </w:rPr>
        <w:t>查询、获取财政电子票据。鼓励各单位在确保财政电子票据首次入账的前提下，将其作为原始凭证，确有需要，执收单位可为</w:t>
      </w:r>
      <w:r>
        <w:rPr>
          <w:rFonts w:hint="eastAsia" w:ascii="仿宋_GB2312" w:hAnsi="仿宋_GB2312" w:eastAsia="仿宋_GB2312" w:cs="仿宋_GB2312"/>
          <w:sz w:val="32"/>
          <w:szCs w:val="32"/>
        </w:rPr>
        <w:t>缴纳义务人开具《辽宁省非税收入统一收据》</w:t>
      </w:r>
      <w:r>
        <w:rPr>
          <w:rFonts w:hint="eastAsia" w:ascii="仿宋_GB2312" w:hAnsi="微软雅黑" w:eastAsia="仿宋_GB2312"/>
          <w:bCs/>
          <w:spacing w:val="8"/>
          <w:sz w:val="32"/>
          <w:szCs w:val="32"/>
        </w:rPr>
        <w:t>。</w:t>
      </w:r>
      <w:r>
        <w:rPr>
          <w:rFonts w:ascii="仿宋_GB2312" w:hAnsi="微软雅黑" w:eastAsia="仿宋_GB2312"/>
          <w:bCs/>
          <w:spacing w:val="8"/>
          <w:sz w:val="32"/>
          <w:szCs w:val="32"/>
        </w:rPr>
        <w:t xml:space="preserve"> </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各银行、第三方支付平台应按照应按有关业务委托代理协议和非税收入收缴管理有关规定，做好非税收入收缴电子化相关工作。</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非税收入收缴应以人民币为本位币，遇外币业务应折算成人民币后上缴，并附言外币种类和金额。</w:t>
      </w:r>
    </w:p>
    <w:p>
      <w:pPr>
        <w:numPr>
          <w:ilvl w:val="0"/>
          <w:numId w:val="2"/>
        </w:numPr>
        <w:spacing w:line="540" w:lineRule="exact"/>
        <w:ind w:firstLine="672" w:firstLineChars="200"/>
        <w:rPr>
          <w:rFonts w:ascii="仿宋_GB2312" w:hAnsi="仿宋_GB2312" w:eastAsia="仿宋_GB2312" w:cs="仿宋_GB2312"/>
          <w:sz w:val="32"/>
          <w:szCs w:val="32"/>
        </w:rPr>
      </w:pPr>
      <w:r>
        <w:rPr>
          <w:rFonts w:hint="eastAsia" w:ascii="仿宋_GB2312" w:hAnsi="微软雅黑" w:eastAsia="仿宋_GB2312"/>
          <w:bCs/>
          <w:spacing w:val="8"/>
          <w:sz w:val="32"/>
          <w:szCs w:val="32"/>
        </w:rPr>
        <w:t>银行应拒绝接收</w:t>
      </w:r>
      <w:r>
        <w:rPr>
          <w:rFonts w:hint="eastAsia" w:ascii="仿宋_GB2312" w:hAnsi="仿宋_GB2312" w:eastAsia="仿宋_GB2312" w:cs="仿宋_GB2312"/>
          <w:sz w:val="32"/>
          <w:szCs w:val="32"/>
        </w:rPr>
        <w:t>没有缴款识别码</w:t>
      </w:r>
      <w:r>
        <w:rPr>
          <w:rFonts w:hint="eastAsia" w:ascii="仿宋_GB2312" w:hAnsi="微软雅黑" w:eastAsia="仿宋_GB2312"/>
          <w:bCs/>
          <w:spacing w:val="8"/>
          <w:sz w:val="32"/>
          <w:szCs w:val="32"/>
        </w:rPr>
        <w:t>的款项，通过银行汇兑等方式直接转入的款项，原则上应退回缴款人。</w:t>
      </w:r>
      <w:r>
        <w:rPr>
          <w:rFonts w:hint="eastAsia" w:ascii="仿宋_GB2312" w:hAnsi="仿宋_GB2312" w:eastAsia="仿宋_GB2312" w:cs="仿宋_GB2312"/>
          <w:sz w:val="32"/>
          <w:szCs w:val="32"/>
        </w:rPr>
        <w:t>每年，如存在非税收入待处理资金，将全部缴入国库。</w:t>
      </w:r>
    </w:p>
    <w:p>
      <w:pPr>
        <w:spacing w:line="540" w:lineRule="exact"/>
        <w:ind w:left="640"/>
        <w:rPr>
          <w:rFonts w:ascii="仿宋_GB2312" w:hAnsi="仿宋_GB2312" w:eastAsia="仿宋_GB2312" w:cs="仿宋_GB2312"/>
          <w:sz w:val="32"/>
          <w:szCs w:val="32"/>
        </w:rPr>
      </w:pPr>
    </w:p>
    <w:p>
      <w:pPr>
        <w:numPr>
          <w:ilvl w:val="0"/>
          <w:numId w:val="1"/>
        </w:numPr>
        <w:spacing w:line="540" w:lineRule="exact"/>
        <w:jc w:val="center"/>
        <w:rPr>
          <w:rFonts w:ascii="黑体" w:hAnsi="黑体" w:eastAsia="黑体" w:cs="宋体"/>
          <w:bCs/>
          <w:sz w:val="32"/>
          <w:szCs w:val="32"/>
        </w:rPr>
      </w:pPr>
      <w:r>
        <w:rPr>
          <w:rFonts w:hint="eastAsia" w:ascii="宋体" w:hAnsi="宋体" w:cs="宋体"/>
          <w:b/>
          <w:bCs/>
          <w:sz w:val="32"/>
          <w:szCs w:val="32"/>
        </w:rPr>
        <w:t>退费管理</w:t>
      </w:r>
    </w:p>
    <w:p>
      <w:pPr>
        <w:spacing w:line="540" w:lineRule="exact"/>
        <w:ind w:left="640"/>
        <w:rPr>
          <w:rFonts w:ascii="仿宋_GB2312" w:hAnsi="仿宋_GB2312" w:eastAsia="仿宋_GB2312" w:cs="仿宋_GB2312"/>
          <w:sz w:val="32"/>
          <w:szCs w:val="32"/>
        </w:rPr>
      </w:pP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非税收入退费必须符合国家有关规定，下列范围可以办理非税退费：</w:t>
      </w:r>
    </w:p>
    <w:p>
      <w:pPr>
        <w:pStyle w:val="12"/>
        <w:numPr>
          <w:ilvl w:val="0"/>
          <w:numId w:val="3"/>
        </w:numPr>
        <w:spacing w:line="540" w:lineRule="exact"/>
        <w:ind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因政策调整需要退费的；</w:t>
      </w:r>
    </w:p>
    <w:p>
      <w:pPr>
        <w:pStyle w:val="12"/>
        <w:numPr>
          <w:ilvl w:val="0"/>
          <w:numId w:val="3"/>
        </w:numPr>
        <w:spacing w:line="540" w:lineRule="exact"/>
        <w:ind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按规定程序确认为误征、多征需要退费的；</w:t>
      </w:r>
    </w:p>
    <w:p>
      <w:pPr>
        <w:pStyle w:val="12"/>
        <w:numPr>
          <w:ilvl w:val="0"/>
          <w:numId w:val="3"/>
        </w:numPr>
        <w:spacing w:line="540" w:lineRule="exact"/>
        <w:ind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收费相关业务终止或取消，按规定需要退费的；</w:t>
      </w:r>
    </w:p>
    <w:p>
      <w:pPr>
        <w:pStyle w:val="12"/>
        <w:numPr>
          <w:ilvl w:val="0"/>
          <w:numId w:val="3"/>
        </w:numPr>
        <w:spacing w:line="540" w:lineRule="exact"/>
        <w:ind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经财政部门核准的其他退费款项。</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非税收入退费按资金存放位置分退付、退户、退库三种，退付指非税收入上缴后未进入非税收入财政专户前的退费事项，退户指非税收入财政专户的退费事项，退库指缴入国库的非税收入退费事项。</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办理非税收入退户业务时，由执收单位填写退户申请表（附件3），明确申请退户的原缴款识别码，退户金额，退户收款账户信息，退付原因，缴纳义务人身份信息等事项，不能原渠道退回的必须说明原因。财政部门受理退户申请后，对实际入户金额、退户原因等情况进行严格审核，审核通过后，按规定将申请资金及时足额退至缴纳义务人或执收单位指定账户。</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非税收入退付比照退户办理，退库由执收单位按国库资金退库流程规范办理。</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为更好的提高效率，服务缴款群众，人民法院诉讼费和学校教育收费等退费可按“收支两条线”管理，在年初预算中，专项安排支出用于退费。</w:t>
      </w:r>
    </w:p>
    <w:p>
      <w:pPr>
        <w:spacing w:line="540" w:lineRule="exact"/>
        <w:ind w:left="640"/>
        <w:rPr>
          <w:rFonts w:ascii="仿宋_GB2312" w:hAnsi="仿宋_GB2312" w:eastAsia="仿宋_GB2312" w:cs="仿宋_GB2312"/>
          <w:sz w:val="32"/>
          <w:szCs w:val="32"/>
        </w:rPr>
      </w:pPr>
    </w:p>
    <w:p>
      <w:pPr>
        <w:numPr>
          <w:ilvl w:val="0"/>
          <w:numId w:val="1"/>
        </w:numPr>
        <w:spacing w:line="540" w:lineRule="exact"/>
        <w:jc w:val="center"/>
        <w:rPr>
          <w:rFonts w:ascii="黑体" w:hAnsi="黑体" w:eastAsia="黑体" w:cs="宋体"/>
          <w:bCs/>
          <w:sz w:val="32"/>
          <w:szCs w:val="32"/>
        </w:rPr>
      </w:pPr>
      <w:r>
        <w:rPr>
          <w:rFonts w:hint="eastAsia" w:ascii="黑体" w:hAnsi="黑体" w:eastAsia="黑体" w:cs="宋体"/>
          <w:bCs/>
          <w:sz w:val="32"/>
          <w:szCs w:val="32"/>
        </w:rPr>
        <w:t>票据管理</w:t>
      </w:r>
    </w:p>
    <w:p>
      <w:pPr>
        <w:spacing w:line="540" w:lineRule="exact"/>
        <w:ind w:firstLine="640" w:firstLineChars="200"/>
        <w:rPr>
          <w:rFonts w:ascii="仿宋" w:hAnsi="仿宋" w:eastAsia="仿宋" w:cs="仿宋_GB2312"/>
          <w:sz w:val="32"/>
          <w:szCs w:val="32"/>
        </w:rPr>
      </w:pPr>
    </w:p>
    <w:p>
      <w:pPr>
        <w:numPr>
          <w:ilvl w:val="0"/>
          <w:numId w:val="2"/>
        </w:numPr>
        <w:spacing w:line="540" w:lineRule="exact"/>
        <w:ind w:firstLine="672" w:firstLineChars="200"/>
        <w:rPr>
          <w:rFonts w:ascii="仿宋_GB2312" w:hAnsi="仿宋_GB2312" w:eastAsia="仿宋_GB2312" w:cs="仿宋_GB2312"/>
          <w:sz w:val="32"/>
          <w:szCs w:val="32"/>
        </w:rPr>
      </w:pPr>
      <w:r>
        <w:rPr>
          <w:rFonts w:hint="eastAsia" w:ascii="仿宋_GB2312" w:hAnsi="仿宋_GB2312" w:eastAsia="仿宋_GB2312" w:cs="仿宋_GB2312"/>
          <w:spacing w:val="8"/>
          <w:sz w:val="32"/>
          <w:szCs w:val="32"/>
        </w:rPr>
        <w:t xml:space="preserve"> 本办法所称票据为财政电子票据。财政电子票据是指由财政部门监管的，行政事业单位在依法收取非税收入或者从事非营利性活动收取财物时，运用计算机和信息网络技术开具、存储、传输和接收的数字电文形式的凭证。</w:t>
      </w:r>
    </w:p>
    <w:p>
      <w:pPr>
        <w:numPr>
          <w:ilvl w:val="0"/>
          <w:numId w:val="2"/>
        </w:numPr>
        <w:spacing w:line="540" w:lineRule="exact"/>
        <w:ind w:firstLine="672" w:firstLineChars="200"/>
        <w:rPr>
          <w:rFonts w:ascii="仿宋_GB2312" w:hAnsi="仿宋_GB2312" w:eastAsia="仿宋_GB2312" w:cs="仿宋_GB2312"/>
          <w:sz w:val="32"/>
          <w:szCs w:val="32"/>
        </w:rPr>
      </w:pPr>
      <w:r>
        <w:rPr>
          <w:rFonts w:hint="eastAsia" w:ascii="仿宋_GB2312" w:hAnsi="仿宋_GB2312" w:eastAsia="仿宋_GB2312" w:cs="仿宋_GB2312"/>
          <w:spacing w:val="8"/>
          <w:sz w:val="32"/>
          <w:szCs w:val="32"/>
        </w:rPr>
        <w:t xml:space="preserve"> 财政电子票据基本要素包括票据名称、票据代码、票据号码、缴款人、收款项目、标准、收款金额、开票单位、开票人、开票日期、开票单位签章、财政部门监制签章等。</w:t>
      </w:r>
    </w:p>
    <w:p>
      <w:pPr>
        <w:numPr>
          <w:ilvl w:val="0"/>
          <w:numId w:val="2"/>
        </w:numPr>
        <w:spacing w:line="540" w:lineRule="exact"/>
        <w:ind w:firstLine="672" w:firstLineChars="200"/>
        <w:rPr>
          <w:rFonts w:ascii="仿宋_GB2312" w:hAnsi="仿宋_GB2312" w:eastAsia="仿宋_GB2312" w:cs="仿宋_GB2312"/>
          <w:sz w:val="32"/>
          <w:szCs w:val="32"/>
        </w:rPr>
      </w:pPr>
      <w:r>
        <w:rPr>
          <w:rFonts w:hint="eastAsia" w:ascii="仿宋_GB2312" w:hAnsi="仿宋_GB2312" w:eastAsia="仿宋_GB2312" w:cs="仿宋_GB2312"/>
          <w:spacing w:val="8"/>
          <w:sz w:val="32"/>
          <w:szCs w:val="32"/>
        </w:rPr>
        <w:t>按照《会计基础工作规范》和《会计档案管理办法》有关要求生成的财政电子票据是单位财务收支和会计核算的原始凭证，是财政、审计等部门进行监督检查的重要依据。</w:t>
      </w:r>
    </w:p>
    <w:p>
      <w:pPr>
        <w:numPr>
          <w:ilvl w:val="0"/>
          <w:numId w:val="2"/>
        </w:numPr>
        <w:spacing w:line="540" w:lineRule="exact"/>
        <w:ind w:firstLine="672" w:firstLineChars="200"/>
        <w:rPr>
          <w:rFonts w:ascii="仿宋_GB2312" w:hAnsi="仿宋_GB2312" w:eastAsia="仿宋_GB2312" w:cs="仿宋_GB2312"/>
          <w:sz w:val="32"/>
          <w:szCs w:val="32"/>
        </w:rPr>
      </w:pPr>
      <w:r>
        <w:rPr>
          <w:rFonts w:hint="eastAsia" w:ascii="仿宋_GB2312" w:hAnsi="仿宋_GB2312" w:eastAsia="仿宋_GB2312" w:cs="仿宋_GB2312"/>
          <w:bCs/>
          <w:spacing w:val="8"/>
          <w:sz w:val="32"/>
          <w:szCs w:val="32"/>
        </w:rPr>
        <w:t>财政部门生成财政电子票据模板文件，发放财政电子票据；执收单位开具财政电子票据，通过网络进行传输；缴纳义务人通过财政票据管理服务网站等方式获取财政电子票据，查验真伪。</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各级财政部门要结合财政电子票据管理工作，建立事前、事中、事后全流程管理体系。</w:t>
      </w:r>
    </w:p>
    <w:p>
      <w:pPr>
        <w:spacing w:line="540" w:lineRule="exact"/>
        <w:rPr>
          <w:rFonts w:ascii="仿宋" w:hAnsi="仿宋" w:eastAsia="仿宋" w:cs="仿宋_GB2312"/>
          <w:sz w:val="32"/>
          <w:szCs w:val="32"/>
        </w:rPr>
      </w:pPr>
    </w:p>
    <w:p>
      <w:pPr>
        <w:numPr>
          <w:ilvl w:val="0"/>
          <w:numId w:val="1"/>
        </w:numPr>
        <w:spacing w:line="540" w:lineRule="exact"/>
        <w:jc w:val="center"/>
        <w:rPr>
          <w:rFonts w:ascii="黑体" w:hAnsi="黑体" w:eastAsia="黑体" w:cs="宋体"/>
          <w:bCs/>
          <w:sz w:val="32"/>
          <w:szCs w:val="32"/>
        </w:rPr>
      </w:pPr>
      <w:r>
        <w:rPr>
          <w:rFonts w:hint="eastAsia" w:ascii="黑体" w:hAnsi="黑体" w:eastAsia="黑体" w:cs="宋体"/>
          <w:bCs/>
          <w:sz w:val="32"/>
          <w:szCs w:val="32"/>
        </w:rPr>
        <w:t>电子文件管理</w:t>
      </w:r>
    </w:p>
    <w:p>
      <w:pPr>
        <w:spacing w:line="540" w:lineRule="exact"/>
        <w:ind w:firstLine="640" w:firstLineChars="200"/>
        <w:rPr>
          <w:rFonts w:ascii="仿宋" w:hAnsi="仿宋" w:eastAsia="仿宋" w:cs="仿宋_GB2312"/>
          <w:sz w:val="32"/>
          <w:szCs w:val="32"/>
        </w:rPr>
      </w:pP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各业务方使用的数字签名应当是符合《中华人民共和国电子签名法》规定的可靠的数字签名。</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通过网络传输的经有效数字签名的电子文件是办理非税收入收缴电子化的唯一有效依据，与原纸质凭证具有同等法律效力。</w:t>
      </w:r>
    </w:p>
    <w:p>
      <w:pPr>
        <w:numPr>
          <w:ilvl w:val="0"/>
          <w:numId w:val="2"/>
        </w:numPr>
        <w:spacing w:line="5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作为会计档案的电子文件在管理上应符合《会计档案管理办法》有关规定。电子档案建立前，各业务方可使用打印的财政电子票据作为相关</w:t>
      </w:r>
      <w:r>
        <w:rPr>
          <w:rFonts w:hint="eastAsia" w:ascii="仿宋_GB2312" w:hAnsi="仿宋_GB2312" w:eastAsia="仿宋_GB2312" w:cs="仿宋_GB2312"/>
          <w:spacing w:val="8"/>
          <w:sz w:val="32"/>
          <w:szCs w:val="32"/>
        </w:rPr>
        <w:t>财务收支和会计核算的原始凭证</w:t>
      </w:r>
      <w:r>
        <w:rPr>
          <w:rFonts w:hint="eastAsia" w:ascii="仿宋_GB2312" w:hAnsi="仿宋_GB2312" w:eastAsia="仿宋_GB2312" w:cs="仿宋_GB2312"/>
          <w:sz w:val="32"/>
          <w:szCs w:val="32"/>
        </w:rPr>
        <w:t>。</w:t>
      </w:r>
    </w:p>
    <w:p>
      <w:pPr>
        <w:spacing w:line="540" w:lineRule="exact"/>
        <w:rPr>
          <w:rFonts w:ascii="仿宋" w:hAnsi="仿宋" w:eastAsia="仿宋" w:cs="仿宋_GB2312"/>
          <w:sz w:val="32"/>
          <w:szCs w:val="32"/>
        </w:rPr>
      </w:pPr>
    </w:p>
    <w:p>
      <w:pPr>
        <w:numPr>
          <w:ilvl w:val="0"/>
          <w:numId w:val="1"/>
        </w:numPr>
        <w:spacing w:line="540" w:lineRule="exact"/>
        <w:jc w:val="center"/>
        <w:rPr>
          <w:rFonts w:ascii="黑体" w:hAnsi="黑体" w:eastAsia="黑体"/>
          <w:bCs/>
          <w:sz w:val="32"/>
          <w:szCs w:val="32"/>
        </w:rPr>
      </w:pPr>
      <w:r>
        <w:rPr>
          <w:rFonts w:hint="eastAsia" w:ascii="黑体" w:hAnsi="黑体" w:eastAsia="黑体" w:cs="宋体"/>
          <w:bCs/>
          <w:sz w:val="32"/>
          <w:szCs w:val="32"/>
        </w:rPr>
        <w:t>管理监督</w:t>
      </w:r>
    </w:p>
    <w:p>
      <w:pPr>
        <w:spacing w:line="540" w:lineRule="exact"/>
        <w:ind w:firstLine="640" w:firstLineChars="200"/>
        <w:rPr>
          <w:rFonts w:ascii="仿宋" w:hAnsi="仿宋" w:eastAsia="仿宋" w:cs="仿宋_GB2312"/>
          <w:sz w:val="32"/>
          <w:szCs w:val="32"/>
        </w:rPr>
      </w:pP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财政部门、代理银行和开展系统对接的执收单位在非税收入收缴电子化管理工作中应履行的主要职责：</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（一）各方应当遵循统一的业务标准和技术规范，确保收缴电子化的安全性、规范性和有效性。</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（二）各方应确保业务处理系统安全、可靠、稳定运行。</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（三）各方应当优化系统功能，提高自动化水平、减少人工干预，提高工作效率和服务水平，实现业务全流程电子化管理，防范安全隐患，提高资金支付效率。</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（四）各方之间信息传输应当采取加密措施，系统衔接应当确保对等、安全、高效。</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 各方之间应当建立定期沟通协调机制，及时总结经验，沟通信息，解决工作中出现的问题。</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各业务方应当各司其职，各负其责，加强管理，防范风险，确保支付电子化正常运行。</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各业务方</w:t>
      </w:r>
      <w:r>
        <w:rPr>
          <w:rFonts w:ascii="仿宋_GB2312" w:hAnsi="仿宋_GB2312" w:eastAsia="仿宋_GB2312" w:cs="仿宋_GB2312"/>
          <w:sz w:val="32"/>
          <w:szCs w:val="32"/>
        </w:rPr>
        <w:t>有违反本办法规定的，按照《财政违法行为处罚处分条例》（国务院令427号）、《违反行政事业性收费和罚没收入、收支两条线管理规定行政处分暂行规定》（国务院令第281号）等法律法规予以处罚。</w:t>
      </w:r>
    </w:p>
    <w:p>
      <w:pPr>
        <w:spacing w:line="540" w:lineRule="exact"/>
        <w:ind w:firstLine="640" w:firstLineChars="200"/>
        <w:rPr>
          <w:rFonts w:ascii="仿宋" w:hAnsi="仿宋" w:eastAsia="仿宋" w:cs="仿宋_GB2312"/>
          <w:sz w:val="32"/>
          <w:szCs w:val="32"/>
        </w:rPr>
      </w:pPr>
    </w:p>
    <w:p>
      <w:pPr>
        <w:numPr>
          <w:ilvl w:val="0"/>
          <w:numId w:val="1"/>
        </w:numPr>
        <w:spacing w:line="540" w:lineRule="exact"/>
        <w:jc w:val="center"/>
        <w:rPr>
          <w:rFonts w:ascii="黑体" w:hAnsi="黑体" w:eastAsia="黑体"/>
          <w:bCs/>
          <w:sz w:val="32"/>
          <w:szCs w:val="32"/>
        </w:rPr>
      </w:pPr>
      <w:r>
        <w:rPr>
          <w:rFonts w:hint="eastAsia" w:ascii="黑体" w:hAnsi="黑体" w:eastAsia="黑体" w:cs="宋体"/>
          <w:bCs/>
          <w:sz w:val="32"/>
          <w:szCs w:val="32"/>
        </w:rPr>
        <w:t xml:space="preserve"> 附  则</w:t>
      </w:r>
    </w:p>
    <w:p>
      <w:pPr>
        <w:spacing w:line="540" w:lineRule="exact"/>
        <w:ind w:firstLine="640" w:firstLineChars="200"/>
        <w:rPr>
          <w:rFonts w:ascii="仿宋" w:hAnsi="仿宋" w:eastAsia="仿宋" w:cs="仿宋_GB2312"/>
          <w:sz w:val="32"/>
          <w:szCs w:val="32"/>
        </w:rPr>
      </w:pP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非税收入收缴电子化管理实施后，除特殊业务，一般不再使用原纸质《非税收入一般缴款书》。</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本办法附件为参考样式，业务开展过程中，各业务方可以根据实际需要适当调整。</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大连地区可参照本办法开展非税收入电子化管理，为保障全省非税收入数据完整性，应将非税收入电子化信息实时接入</w:t>
      </w:r>
      <w:r>
        <w:rPr>
          <w:rFonts w:hint="eastAsia" w:ascii="仿宋" w:hAnsi="仿宋" w:eastAsia="仿宋" w:cs="宋体"/>
          <w:bCs/>
          <w:sz w:val="32"/>
          <w:szCs w:val="32"/>
        </w:rPr>
        <w:t>辽宁省非税收入收缴系统。</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本办法由辽宁省财政厅负责解释。</w:t>
      </w:r>
    </w:p>
    <w:p>
      <w:pPr>
        <w:numPr>
          <w:ilvl w:val="0"/>
          <w:numId w:val="2"/>
        </w:num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办法自印发之日起执行，下列文件：《关于印发辽宁省完善非税收入收缴管理工作方案（试行）的通知》（辽财办〔2009〕508号）、《关于省直单位全面实施完善非税收入收缴管理有关事项的通知》（辽财库〔2010〕1014号）、《关于加强省直单位收入监督管理的通知》（辽财库〔2010〕697号）、《关于印发辽宁省乡镇非税收入收缴改革实施方案的通知》（辽财库〔2013〕874号）同时废止。</w:t>
      </w:r>
    </w:p>
    <w:p>
      <w:pPr>
        <w:numPr>
          <w:ilvl w:val="0"/>
          <w:numId w:val="2"/>
        </w:numPr>
        <w:spacing w:line="540" w:lineRule="exact"/>
        <w:ind w:firstLine="640"/>
        <w:rPr>
          <w:rFonts w:ascii="仿宋" w:hAnsi="仿宋" w:eastAsia="仿宋"/>
          <w:sz w:val="32"/>
          <w:szCs w:val="32"/>
        </w:rPr>
      </w:pPr>
      <w:r>
        <w:rPr>
          <w:rFonts w:hint="eastAsia" w:ascii="仿宋_GB2312" w:hAnsi="仿宋_GB2312" w:eastAsia="仿宋_GB2312" w:cs="仿宋_GB2312"/>
          <w:sz w:val="32"/>
          <w:szCs w:val="32"/>
        </w:rPr>
        <w:t>《关于印发辽宁省省属国有资本（资产）收益收缴管理办法的通知》（辽财资〔2017〕331号）规定的国有资本（资产）收益收缴方式不再执行，应按照本办法第四章有关规定执行。</w:t>
      </w:r>
    </w:p>
    <w:sectPr>
      <w:footerReference r:id="rId3" w:type="default"/>
      <w:pgSz w:w="11906" w:h="16838"/>
      <w:pgMar w:top="1701" w:right="1418" w:bottom="170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6861957"/>
      <w:docPartObj>
        <w:docPartGallery w:val="AutoText"/>
      </w:docPartObj>
    </w:sdtPr>
    <w:sdtContent>
      <w:p>
        <w:pPr>
          <w:pStyle w:val="4"/>
          <w:jc w:val="center"/>
        </w:pPr>
        <w:r>
          <w:fldChar w:fldCharType="begin"/>
        </w:r>
        <w:r>
          <w:instrText xml:space="preserve">PAGE   \* MERGEFORMAT</w:instrText>
        </w:r>
        <w:r>
          <w:fldChar w:fldCharType="separate"/>
        </w:r>
        <w:r>
          <w:rPr>
            <w:lang w:val="zh-CN"/>
          </w:rPr>
          <w:t>14</w:t>
        </w:r>
        <w:r>
          <w:fldChar w:fldCharType="end"/>
        </w:r>
      </w:p>
    </w:sdtContent>
  </w:sdt>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D"/>
    <w:lvl w:ilvl="0" w:tentative="0">
      <w:start w:val="1"/>
      <w:numFmt w:val="chineseCounting"/>
      <w:suff w:val="space"/>
      <w:lvlText w:val="第%1章"/>
      <w:lvlJc w:val="left"/>
    </w:lvl>
    <w:lvl w:ilvl="1" w:tentative="0">
      <w:start w:val="1"/>
      <w:numFmt w:val="lowerLetter"/>
      <w:lvlText w:val="%2)"/>
      <w:lvlJc w:val="left"/>
      <w:pPr>
        <w:tabs>
          <w:tab w:val="left" w:pos="8780"/>
        </w:tabs>
        <w:ind w:left="8780" w:hanging="420"/>
      </w:pPr>
      <w:rPr>
        <w:rFonts w:hint="default"/>
      </w:rPr>
    </w:lvl>
    <w:lvl w:ilvl="2" w:tentative="0">
      <w:start w:val="1"/>
      <w:numFmt w:val="lowerRoman"/>
      <w:lvlText w:val="%3."/>
      <w:lvlJc w:val="left"/>
      <w:pPr>
        <w:tabs>
          <w:tab w:val="left" w:pos="9200"/>
        </w:tabs>
        <w:ind w:left="9200" w:hanging="420"/>
      </w:pPr>
      <w:rPr>
        <w:rFonts w:hint="default"/>
      </w:rPr>
    </w:lvl>
    <w:lvl w:ilvl="3" w:tentative="0">
      <w:start w:val="1"/>
      <w:numFmt w:val="decimal"/>
      <w:lvlText w:val="%4."/>
      <w:lvlJc w:val="left"/>
      <w:pPr>
        <w:tabs>
          <w:tab w:val="left" w:pos="9620"/>
        </w:tabs>
        <w:ind w:left="9620" w:hanging="420"/>
      </w:pPr>
      <w:rPr>
        <w:rFonts w:hint="default"/>
      </w:rPr>
    </w:lvl>
    <w:lvl w:ilvl="4" w:tentative="0">
      <w:start w:val="1"/>
      <w:numFmt w:val="lowerLetter"/>
      <w:lvlText w:val="%5)"/>
      <w:lvlJc w:val="left"/>
      <w:pPr>
        <w:tabs>
          <w:tab w:val="left" w:pos="10040"/>
        </w:tabs>
        <w:ind w:left="10040" w:hanging="420"/>
      </w:pPr>
      <w:rPr>
        <w:rFonts w:hint="default"/>
      </w:rPr>
    </w:lvl>
    <w:lvl w:ilvl="5" w:tentative="0">
      <w:start w:val="1"/>
      <w:numFmt w:val="lowerRoman"/>
      <w:lvlText w:val="%6."/>
      <w:lvlJc w:val="left"/>
      <w:pPr>
        <w:tabs>
          <w:tab w:val="left" w:pos="10460"/>
        </w:tabs>
        <w:ind w:left="10460" w:hanging="420"/>
      </w:pPr>
      <w:rPr>
        <w:rFonts w:hint="default"/>
      </w:rPr>
    </w:lvl>
    <w:lvl w:ilvl="6" w:tentative="0">
      <w:start w:val="1"/>
      <w:numFmt w:val="decimal"/>
      <w:lvlText w:val="%7."/>
      <w:lvlJc w:val="left"/>
      <w:pPr>
        <w:tabs>
          <w:tab w:val="left" w:pos="10880"/>
        </w:tabs>
        <w:ind w:left="10880" w:hanging="420"/>
      </w:pPr>
      <w:rPr>
        <w:rFonts w:hint="default"/>
      </w:rPr>
    </w:lvl>
    <w:lvl w:ilvl="7" w:tentative="0">
      <w:start w:val="1"/>
      <w:numFmt w:val="lowerLetter"/>
      <w:lvlText w:val="%8)"/>
      <w:lvlJc w:val="left"/>
      <w:pPr>
        <w:tabs>
          <w:tab w:val="left" w:pos="11300"/>
        </w:tabs>
        <w:ind w:left="11300" w:hanging="420"/>
      </w:pPr>
      <w:rPr>
        <w:rFonts w:hint="default"/>
      </w:rPr>
    </w:lvl>
    <w:lvl w:ilvl="8" w:tentative="0">
      <w:start w:val="1"/>
      <w:numFmt w:val="lowerRoman"/>
      <w:lvlText w:val="%9."/>
      <w:lvlJc w:val="left"/>
      <w:pPr>
        <w:tabs>
          <w:tab w:val="left" w:pos="11720"/>
        </w:tabs>
        <w:ind w:left="11720" w:hanging="420"/>
      </w:pPr>
      <w:rPr>
        <w:rFonts w:hint="default"/>
      </w:rPr>
    </w:lvl>
  </w:abstractNum>
  <w:abstractNum w:abstractNumId="1">
    <w:nsid w:val="098857D3"/>
    <w:multiLevelType w:val="singleLevel"/>
    <w:tmpl w:val="098857D3"/>
    <w:lvl w:ilvl="0" w:tentative="0">
      <w:start w:val="1"/>
      <w:numFmt w:val="chineseCounting"/>
      <w:lvlText w:val="第%1条"/>
      <w:lvlJc w:val="left"/>
      <w:rPr>
        <w:rFonts w:ascii="黑体" w:hAnsi="黑体" w:eastAsia="黑体"/>
        <w:b w:val="0"/>
        <w:lang w:val="en-US"/>
      </w:rPr>
    </w:lvl>
  </w:abstractNum>
  <w:abstractNum w:abstractNumId="2">
    <w:nsid w:val="205A67BF"/>
    <w:multiLevelType w:val="multilevel"/>
    <w:tmpl w:val="205A67BF"/>
    <w:lvl w:ilvl="0" w:tentative="0">
      <w:start w:val="1"/>
      <w:numFmt w:val="japaneseCounting"/>
      <w:lvlText w:val="（%1）"/>
      <w:lvlJc w:val="left"/>
      <w:pPr>
        <w:ind w:left="1720" w:hanging="108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FDC"/>
    <w:rsid w:val="0000440F"/>
    <w:rsid w:val="00017A05"/>
    <w:rsid w:val="00025BE0"/>
    <w:rsid w:val="000264FA"/>
    <w:rsid w:val="00026BDD"/>
    <w:rsid w:val="00041102"/>
    <w:rsid w:val="00044FAF"/>
    <w:rsid w:val="0006145A"/>
    <w:rsid w:val="0007311C"/>
    <w:rsid w:val="0007332B"/>
    <w:rsid w:val="00074D07"/>
    <w:rsid w:val="00083B8B"/>
    <w:rsid w:val="00096612"/>
    <w:rsid w:val="00097EE2"/>
    <w:rsid w:val="000A605A"/>
    <w:rsid w:val="000B33A1"/>
    <w:rsid w:val="000B7F43"/>
    <w:rsid w:val="000C3EE1"/>
    <w:rsid w:val="000C4A0A"/>
    <w:rsid w:val="000D0872"/>
    <w:rsid w:val="000F3103"/>
    <w:rsid w:val="000F51D5"/>
    <w:rsid w:val="00107621"/>
    <w:rsid w:val="00110612"/>
    <w:rsid w:val="00116AEB"/>
    <w:rsid w:val="00124440"/>
    <w:rsid w:val="001403C4"/>
    <w:rsid w:val="00142102"/>
    <w:rsid w:val="00152AB4"/>
    <w:rsid w:val="00161894"/>
    <w:rsid w:val="00163E63"/>
    <w:rsid w:val="00164C2F"/>
    <w:rsid w:val="00164E7D"/>
    <w:rsid w:val="00171DAD"/>
    <w:rsid w:val="0017212E"/>
    <w:rsid w:val="00175D74"/>
    <w:rsid w:val="00181CE0"/>
    <w:rsid w:val="00183C33"/>
    <w:rsid w:val="00187185"/>
    <w:rsid w:val="001871C4"/>
    <w:rsid w:val="00194DA3"/>
    <w:rsid w:val="001B1DEC"/>
    <w:rsid w:val="001C1478"/>
    <w:rsid w:val="001C6BE8"/>
    <w:rsid w:val="001D3D7D"/>
    <w:rsid w:val="001D50AF"/>
    <w:rsid w:val="001F0A1F"/>
    <w:rsid w:val="00202595"/>
    <w:rsid w:val="00212AEF"/>
    <w:rsid w:val="0022176C"/>
    <w:rsid w:val="0023503B"/>
    <w:rsid w:val="00236435"/>
    <w:rsid w:val="00256EEA"/>
    <w:rsid w:val="00270D11"/>
    <w:rsid w:val="00282C35"/>
    <w:rsid w:val="00293AEC"/>
    <w:rsid w:val="0029599F"/>
    <w:rsid w:val="002A1896"/>
    <w:rsid w:val="002A2603"/>
    <w:rsid w:val="002A2B9A"/>
    <w:rsid w:val="002A2C51"/>
    <w:rsid w:val="002A494D"/>
    <w:rsid w:val="002C01F9"/>
    <w:rsid w:val="002D4AFE"/>
    <w:rsid w:val="00300C83"/>
    <w:rsid w:val="003046DF"/>
    <w:rsid w:val="00305C82"/>
    <w:rsid w:val="003146FF"/>
    <w:rsid w:val="003164AA"/>
    <w:rsid w:val="003302D2"/>
    <w:rsid w:val="00337905"/>
    <w:rsid w:val="003620CC"/>
    <w:rsid w:val="003663A8"/>
    <w:rsid w:val="00375218"/>
    <w:rsid w:val="00382368"/>
    <w:rsid w:val="00383985"/>
    <w:rsid w:val="003927F3"/>
    <w:rsid w:val="003A12C9"/>
    <w:rsid w:val="003C0669"/>
    <w:rsid w:val="003C2E9C"/>
    <w:rsid w:val="003C32BF"/>
    <w:rsid w:val="003C625B"/>
    <w:rsid w:val="003D10B1"/>
    <w:rsid w:val="003E172A"/>
    <w:rsid w:val="003E7E88"/>
    <w:rsid w:val="003F5A11"/>
    <w:rsid w:val="004048C8"/>
    <w:rsid w:val="004050A4"/>
    <w:rsid w:val="0040586E"/>
    <w:rsid w:val="0042698D"/>
    <w:rsid w:val="00440392"/>
    <w:rsid w:val="004415B2"/>
    <w:rsid w:val="004448C7"/>
    <w:rsid w:val="00454FEE"/>
    <w:rsid w:val="00456F77"/>
    <w:rsid w:val="00470F0D"/>
    <w:rsid w:val="00473E00"/>
    <w:rsid w:val="00474A6C"/>
    <w:rsid w:val="00477B7F"/>
    <w:rsid w:val="004912C3"/>
    <w:rsid w:val="00491B3E"/>
    <w:rsid w:val="004A1727"/>
    <w:rsid w:val="004B1E66"/>
    <w:rsid w:val="004B29E8"/>
    <w:rsid w:val="004B379A"/>
    <w:rsid w:val="004B39B4"/>
    <w:rsid w:val="004C1E4A"/>
    <w:rsid w:val="004C21CE"/>
    <w:rsid w:val="004D4870"/>
    <w:rsid w:val="004E1096"/>
    <w:rsid w:val="00500154"/>
    <w:rsid w:val="00500E8D"/>
    <w:rsid w:val="005140CB"/>
    <w:rsid w:val="005230F0"/>
    <w:rsid w:val="00540DBC"/>
    <w:rsid w:val="00544CF9"/>
    <w:rsid w:val="00562557"/>
    <w:rsid w:val="00570179"/>
    <w:rsid w:val="00570FE9"/>
    <w:rsid w:val="005720F5"/>
    <w:rsid w:val="00576DD3"/>
    <w:rsid w:val="00586E20"/>
    <w:rsid w:val="00594F4C"/>
    <w:rsid w:val="00596816"/>
    <w:rsid w:val="005A03D3"/>
    <w:rsid w:val="005A25CC"/>
    <w:rsid w:val="005C0603"/>
    <w:rsid w:val="005C20C8"/>
    <w:rsid w:val="005C4779"/>
    <w:rsid w:val="005C4CF5"/>
    <w:rsid w:val="005D5A0D"/>
    <w:rsid w:val="00600BF4"/>
    <w:rsid w:val="00602ACA"/>
    <w:rsid w:val="00607C0B"/>
    <w:rsid w:val="00633E7A"/>
    <w:rsid w:val="00645442"/>
    <w:rsid w:val="0065108C"/>
    <w:rsid w:val="0065225B"/>
    <w:rsid w:val="00666D74"/>
    <w:rsid w:val="006807CF"/>
    <w:rsid w:val="00691BF9"/>
    <w:rsid w:val="00692CE5"/>
    <w:rsid w:val="006A1AAB"/>
    <w:rsid w:val="006A26ED"/>
    <w:rsid w:val="006A4B61"/>
    <w:rsid w:val="006B2E8D"/>
    <w:rsid w:val="006C494F"/>
    <w:rsid w:val="006C6C7C"/>
    <w:rsid w:val="006D1FEA"/>
    <w:rsid w:val="006D7CC2"/>
    <w:rsid w:val="006E1911"/>
    <w:rsid w:val="006E3B34"/>
    <w:rsid w:val="006E7D63"/>
    <w:rsid w:val="007003B4"/>
    <w:rsid w:val="00727072"/>
    <w:rsid w:val="00737180"/>
    <w:rsid w:val="00742DED"/>
    <w:rsid w:val="00745B55"/>
    <w:rsid w:val="007542DF"/>
    <w:rsid w:val="00760E37"/>
    <w:rsid w:val="00761A09"/>
    <w:rsid w:val="00766E56"/>
    <w:rsid w:val="00792548"/>
    <w:rsid w:val="00797971"/>
    <w:rsid w:val="00797F0F"/>
    <w:rsid w:val="007A4F9A"/>
    <w:rsid w:val="007A7576"/>
    <w:rsid w:val="007A763E"/>
    <w:rsid w:val="007B3CAC"/>
    <w:rsid w:val="007B3FD3"/>
    <w:rsid w:val="007C2A8B"/>
    <w:rsid w:val="007C53E7"/>
    <w:rsid w:val="007C6256"/>
    <w:rsid w:val="007D12BE"/>
    <w:rsid w:val="007E4717"/>
    <w:rsid w:val="0080608E"/>
    <w:rsid w:val="0081425F"/>
    <w:rsid w:val="00821060"/>
    <w:rsid w:val="00822416"/>
    <w:rsid w:val="00841BA2"/>
    <w:rsid w:val="00845633"/>
    <w:rsid w:val="00850FDC"/>
    <w:rsid w:val="00862699"/>
    <w:rsid w:val="008736DD"/>
    <w:rsid w:val="0088217D"/>
    <w:rsid w:val="008A34DF"/>
    <w:rsid w:val="008B7AE8"/>
    <w:rsid w:val="008E175B"/>
    <w:rsid w:val="008F03D5"/>
    <w:rsid w:val="008F2F97"/>
    <w:rsid w:val="00902EBD"/>
    <w:rsid w:val="00916724"/>
    <w:rsid w:val="00924B2A"/>
    <w:rsid w:val="009611DA"/>
    <w:rsid w:val="009650A7"/>
    <w:rsid w:val="00975EC3"/>
    <w:rsid w:val="009A2666"/>
    <w:rsid w:val="009A6676"/>
    <w:rsid w:val="009C09B9"/>
    <w:rsid w:val="009E6C42"/>
    <w:rsid w:val="009F37E3"/>
    <w:rsid w:val="009F492A"/>
    <w:rsid w:val="00A35ABF"/>
    <w:rsid w:val="00A371B6"/>
    <w:rsid w:val="00A547FF"/>
    <w:rsid w:val="00A62F7E"/>
    <w:rsid w:val="00A72AFA"/>
    <w:rsid w:val="00A751CB"/>
    <w:rsid w:val="00A83A43"/>
    <w:rsid w:val="00AA3FB6"/>
    <w:rsid w:val="00AB345A"/>
    <w:rsid w:val="00AD0F65"/>
    <w:rsid w:val="00AD1153"/>
    <w:rsid w:val="00AF6177"/>
    <w:rsid w:val="00B01753"/>
    <w:rsid w:val="00B03BD3"/>
    <w:rsid w:val="00B0497E"/>
    <w:rsid w:val="00B1030A"/>
    <w:rsid w:val="00B11267"/>
    <w:rsid w:val="00B266DE"/>
    <w:rsid w:val="00B36CFB"/>
    <w:rsid w:val="00B702B9"/>
    <w:rsid w:val="00B743A4"/>
    <w:rsid w:val="00BA2840"/>
    <w:rsid w:val="00BA6EA9"/>
    <w:rsid w:val="00BA7E77"/>
    <w:rsid w:val="00BB1C48"/>
    <w:rsid w:val="00BB2F37"/>
    <w:rsid w:val="00BD1A23"/>
    <w:rsid w:val="00BD1FD3"/>
    <w:rsid w:val="00BF4F46"/>
    <w:rsid w:val="00BF7587"/>
    <w:rsid w:val="00BF7946"/>
    <w:rsid w:val="00C0486E"/>
    <w:rsid w:val="00C06EC4"/>
    <w:rsid w:val="00C22ECE"/>
    <w:rsid w:val="00C242C6"/>
    <w:rsid w:val="00C3698F"/>
    <w:rsid w:val="00C36AF6"/>
    <w:rsid w:val="00C477AD"/>
    <w:rsid w:val="00C47C62"/>
    <w:rsid w:val="00C50574"/>
    <w:rsid w:val="00C67378"/>
    <w:rsid w:val="00C800B8"/>
    <w:rsid w:val="00C85CDE"/>
    <w:rsid w:val="00C85E04"/>
    <w:rsid w:val="00CA20CA"/>
    <w:rsid w:val="00CA2B42"/>
    <w:rsid w:val="00CA462D"/>
    <w:rsid w:val="00CA586D"/>
    <w:rsid w:val="00CC3E36"/>
    <w:rsid w:val="00CE0480"/>
    <w:rsid w:val="00CE7EEB"/>
    <w:rsid w:val="00CF46BE"/>
    <w:rsid w:val="00D111B9"/>
    <w:rsid w:val="00D13E1E"/>
    <w:rsid w:val="00D20C21"/>
    <w:rsid w:val="00D318AD"/>
    <w:rsid w:val="00D325D8"/>
    <w:rsid w:val="00D34851"/>
    <w:rsid w:val="00D50661"/>
    <w:rsid w:val="00D50BF8"/>
    <w:rsid w:val="00D56F6F"/>
    <w:rsid w:val="00D65024"/>
    <w:rsid w:val="00D73A85"/>
    <w:rsid w:val="00DA2A5A"/>
    <w:rsid w:val="00DA58BC"/>
    <w:rsid w:val="00DC02F2"/>
    <w:rsid w:val="00DC3239"/>
    <w:rsid w:val="00DD3BC2"/>
    <w:rsid w:val="00DD5575"/>
    <w:rsid w:val="00DE133C"/>
    <w:rsid w:val="00DE2EBA"/>
    <w:rsid w:val="00DE3412"/>
    <w:rsid w:val="00DE5749"/>
    <w:rsid w:val="00E06153"/>
    <w:rsid w:val="00E27991"/>
    <w:rsid w:val="00E3489C"/>
    <w:rsid w:val="00E35AE0"/>
    <w:rsid w:val="00E43761"/>
    <w:rsid w:val="00E60F3B"/>
    <w:rsid w:val="00E66B17"/>
    <w:rsid w:val="00E86EF5"/>
    <w:rsid w:val="00E93C48"/>
    <w:rsid w:val="00E943E4"/>
    <w:rsid w:val="00E973E1"/>
    <w:rsid w:val="00EB3E67"/>
    <w:rsid w:val="00EC38D6"/>
    <w:rsid w:val="00EC6307"/>
    <w:rsid w:val="00ED58E0"/>
    <w:rsid w:val="00EE07B2"/>
    <w:rsid w:val="00EE1FE0"/>
    <w:rsid w:val="00F14321"/>
    <w:rsid w:val="00F2082D"/>
    <w:rsid w:val="00F22AE9"/>
    <w:rsid w:val="00F2738C"/>
    <w:rsid w:val="00F34183"/>
    <w:rsid w:val="00F377BC"/>
    <w:rsid w:val="00F439F5"/>
    <w:rsid w:val="00F55A73"/>
    <w:rsid w:val="00F73518"/>
    <w:rsid w:val="00F74494"/>
    <w:rsid w:val="00F775C3"/>
    <w:rsid w:val="00F80A4A"/>
    <w:rsid w:val="00F8126C"/>
    <w:rsid w:val="00F87430"/>
    <w:rsid w:val="00F9462B"/>
    <w:rsid w:val="00FC0FBF"/>
    <w:rsid w:val="00FD12CC"/>
    <w:rsid w:val="00FE5AC2"/>
    <w:rsid w:val="00FF74A8"/>
    <w:rsid w:val="15081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Plain Text"/>
    <w:basedOn w:val="1"/>
    <w:link w:val="10"/>
    <w:unhideWhenUsed/>
    <w:qFormat/>
    <w:uiPriority w:val="99"/>
    <w:rPr>
      <w:rFonts w:ascii="宋体" w:hAnsi="Courier New" w:cs="Courier New" w:eastAsiaTheme="minorEastAsia"/>
      <w:szCs w:val="21"/>
    </w:rPr>
  </w:style>
  <w:style w:type="paragraph" w:styleId="3">
    <w:name w:val="Balloon Text"/>
    <w:basedOn w:val="1"/>
    <w:link w:val="15"/>
    <w:semiHidden/>
    <w:unhideWhenUsed/>
    <w:qFormat/>
    <w:uiPriority w:val="99"/>
    <w:rPr>
      <w:sz w:val="18"/>
      <w:szCs w:val="18"/>
    </w:rPr>
  </w:style>
  <w:style w:type="paragraph" w:styleId="4">
    <w:name w:val="footer"/>
    <w:basedOn w:val="1"/>
    <w:link w:val="14"/>
    <w:unhideWhenUsed/>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cs="宋体"/>
      <w:kern w:val="0"/>
      <w:sz w:val="24"/>
    </w:rPr>
  </w:style>
  <w:style w:type="character" w:styleId="9">
    <w:name w:val="Hyperlink"/>
    <w:basedOn w:val="8"/>
    <w:unhideWhenUsed/>
    <w:qFormat/>
    <w:uiPriority w:val="99"/>
    <w:rPr>
      <w:color w:val="0000FF" w:themeColor="hyperlink"/>
      <w:u w:val="single"/>
      <w14:textFill>
        <w14:solidFill>
          <w14:schemeClr w14:val="hlink"/>
        </w14:solidFill>
      </w14:textFill>
    </w:rPr>
  </w:style>
  <w:style w:type="character" w:customStyle="1" w:styleId="10">
    <w:name w:val="纯文本 Char"/>
    <w:link w:val="2"/>
    <w:uiPriority w:val="99"/>
    <w:rPr>
      <w:rFonts w:ascii="宋体" w:hAnsi="Courier New" w:cs="Courier New"/>
      <w:szCs w:val="21"/>
    </w:rPr>
  </w:style>
  <w:style w:type="character" w:customStyle="1" w:styleId="11">
    <w:name w:val="纯文本 Char1"/>
    <w:basedOn w:val="8"/>
    <w:semiHidden/>
    <w:qFormat/>
    <w:uiPriority w:val="99"/>
    <w:rPr>
      <w:rFonts w:ascii="宋体" w:hAnsi="Courier New" w:eastAsia="宋体" w:cs="Courier New"/>
      <w:szCs w:val="21"/>
    </w:rPr>
  </w:style>
  <w:style w:type="paragraph" w:styleId="12">
    <w:name w:val="List Paragraph"/>
    <w:basedOn w:val="1"/>
    <w:qFormat/>
    <w:uiPriority w:val="34"/>
    <w:pPr>
      <w:ind w:firstLine="420" w:firstLineChars="200"/>
    </w:pPr>
    <w:rPr>
      <w:szCs w:val="21"/>
    </w:rPr>
  </w:style>
  <w:style w:type="character" w:customStyle="1" w:styleId="13">
    <w:name w:val="页眉 Char"/>
    <w:basedOn w:val="8"/>
    <w:link w:val="5"/>
    <w:qFormat/>
    <w:uiPriority w:val="99"/>
    <w:rPr>
      <w:rFonts w:ascii="Times New Roman" w:hAnsi="Times New Roman" w:eastAsia="宋体" w:cs="Times New Roman"/>
      <w:sz w:val="18"/>
      <w:szCs w:val="18"/>
    </w:rPr>
  </w:style>
  <w:style w:type="character" w:customStyle="1" w:styleId="14">
    <w:name w:val="页脚 Char"/>
    <w:basedOn w:val="8"/>
    <w:link w:val="4"/>
    <w:qFormat/>
    <w:uiPriority w:val="99"/>
    <w:rPr>
      <w:rFonts w:ascii="Times New Roman" w:hAnsi="Times New Roman" w:eastAsia="宋体" w:cs="Times New Roman"/>
      <w:sz w:val="18"/>
      <w:szCs w:val="18"/>
    </w:rPr>
  </w:style>
  <w:style w:type="character" w:customStyle="1" w:styleId="15">
    <w:name w:val="批注框文本 Char"/>
    <w:basedOn w:val="8"/>
    <w:link w:val="3"/>
    <w:semiHidden/>
    <w:qFormat/>
    <w:uiPriority w:val="99"/>
    <w:rPr>
      <w:rFonts w:ascii="Times New Roman" w:hAnsi="Times New Roman" w:eastAsia="宋体" w:cs="Times New Roman"/>
      <w:sz w:val="18"/>
      <w:szCs w:val="18"/>
    </w:rPr>
  </w:style>
  <w:style w:type="character" w:customStyle="1" w:styleId="16">
    <w:name w:val="Subtle Emphasis"/>
    <w:basedOn w:val="8"/>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22C26E-A389-421E-ACAE-E4413A925695}">
  <ds:schemaRefs/>
</ds:datastoreItem>
</file>

<file path=docProps/app.xml><?xml version="1.0" encoding="utf-8"?>
<Properties xmlns="http://schemas.openxmlformats.org/officeDocument/2006/extended-properties" xmlns:vt="http://schemas.openxmlformats.org/officeDocument/2006/docPropsVTypes">
  <Template>Normal.dotm</Template>
  <Pages>14</Pages>
  <Words>900</Words>
  <Characters>5136</Characters>
  <Lines>42</Lines>
  <Paragraphs>12</Paragraphs>
  <TotalTime>16</TotalTime>
  <ScaleCrop>false</ScaleCrop>
  <LinksUpToDate>false</LinksUpToDate>
  <CharactersWithSpaces>6024</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2019-11-25T01:51:00Z</dcterms:created>
  <dc:creator>国库处-齐姝丽</dc:creator>
  <cp:lastModifiedBy>thinkpad</cp:lastModifiedBy>
  <cp:lastPrinted>2019-11-25T02:26:00Z</cp:lastPrinted>
  <dcterms:modified xsi:type="dcterms:W3CDTF">2019-11-25T05:40:39Z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