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 w:eastAsia="zh-CN"/>
        </w:rPr>
      </w:pPr>
      <w:bookmarkStart w:id="0" w:name="_GoBack"/>
      <w:r>
        <w:rPr>
          <w:rFonts w:hint="eastAsia" w:ascii="宋体" w:hAnsi="宋体" w:eastAsia="宋体" w:cs="宋体"/>
          <w:b/>
          <w:bCs/>
          <w:sz w:val="44"/>
          <w:szCs w:val="44"/>
          <w:lang w:val="en"/>
        </w:rPr>
        <w:t>202</w:t>
      </w:r>
      <w:r>
        <w:rPr>
          <w:rFonts w:hint="eastAsia" w:ascii="宋体" w:hAnsi="宋体" w:cs="宋体"/>
          <w:b/>
          <w:bCs/>
          <w:sz w:val="44"/>
          <w:szCs w:val="44"/>
          <w:lang w:val="en-US" w:eastAsia="zh-CN"/>
        </w:rPr>
        <w:t>3</w:t>
      </w:r>
      <w:r>
        <w:rPr>
          <w:rFonts w:hint="eastAsia" w:ascii="宋体" w:hAnsi="宋体" w:eastAsia="宋体" w:cs="宋体"/>
          <w:b/>
          <w:bCs/>
          <w:sz w:val="44"/>
          <w:szCs w:val="44"/>
          <w:lang w:val="en" w:eastAsia="zh-CN"/>
        </w:rPr>
        <w:t>年预算报告中有关名词的解释</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政府预算体系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按照完善社会主义市场经济体制的要求，我们逐步建立起由一般公共预算、政府性基金预算、国有资本经营预算和社会保险基金预算等四本预算构成的政府预算体系。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一般公共预算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是对以税收为主体的财政收入，安排用于保障和改善民生、推动经济社会发展、维护国家安全、维持国家机构正常运转等方面的收支预算。</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政府性基金预算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国有资本经营预算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是对国有资本收益作出支出安排的收支预算。国有资本经营预算应当按照收支平衡的原则编制、不列赤字，并安排资金调入一般公共预算。</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社会保险基金预算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是对社会保险缴款、一般公共预算安排和其他方式筹集的资金，专项用于社会保险的收支预算。社会保险基金预算应当按照筹集层次和社会保险项目分别编制，做到收支平衡。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预算调整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地方各级人民代表大会批准的地方各级预算，在执行中出现下列情况之一的，应当进行预算调整：①需要增加或者减少预算总支出的；②需要调入预算稳定调节基金的；③需要调减预算安排的重点支出数额的；④需要增加举借债务数额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财政存量资金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是指当年未实现实际支出的财政性资金，主要包括：一般公共预算结转结余资金、政府性基金预算结转结余资金、转移支付结转结余资金、部门预算结转结余资金等。</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结转资金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是指预算安排项目的支出年度终了时尚未执行完毕，或者因故未执行但下一年度需要按原用途继续使用的资金。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结余资金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是指年度预算执行终了时，预算收入实际完成数扣除预算支出实际完成数和结转资金后剩余的资金。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预算稳定调节基金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中央或地方财政通过超收收入和支出结余等安排的具有储备性质的基金，视预算平衡情况，在安排下年度预算时调入并使用，或用于弥补短收年份预算执行的收支缺口。预算稳定调节基金的安排使用接受同级人大及其常委会的监督。</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基层“三保”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是指县（市、区）保基本民生、保工资、保运转相关支出，关系到政府履职尽责和人民群众切身利益，是促进地区经济协调发展的基础，也是维护经济运行秩序和社会大局稳定的“压舱石”。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财政事权和支出责任划分改革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事权是一级政府应承担的运用财政资金提供基本公共服务的任务和职责，支出责任是政府履行财政事权的支出义务和保障。此项改革主要是根据中央与地方财政事权和支出责任划分改革推进情况，科学合理划分省与市财政事权和支出责任，形成省委省政府领导、合理授权、依法规范、运转高效的财政事权和支出责任划分模式，落实基本公共服务提供责任，提高基本公共服务供给效率，促进各级政府更好履职尽责。</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预算管理一体化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以系统化思维整合预算管理全流程，建立各级财政统一的预算管理一体化规范，将管理规则嵌入信息系统，构建现代信息技术条件下“制度+技术”的管理机制，全面提高各级预算管理规范化、标准化和自动化水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财政资金直达机制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党中央、国务院作出的重大决策部署，也是财政宏观调控方式的重大创新，在保持现行财政管理体制不变、地方保障主体责任不变、资金分配权限不变的前提下，按照“中央切块、省级细化、备案同意、快速直达”的原则，坚持“一竿子插到底”，省财政当好“过路财神”、不做“甩手掌柜”，将资金直达市县基层、直接惠企利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政府购买服务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是指各级国家机关将属于自身职责范围且适合通过市场化方式提供的服务事项，按照政府采购方式和程序，交由符合条件的服务供应商承担，并根据服务数量和质量等因素向其支付费用的行为。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政府采购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也称公共采购，是指各级国家机关、事业单位和团体组织，采取竞争、择优、公开的形式，使用财政性资金，以购买、租赁、委托或雇佣等方法取得货物、工程和服务的行为。政府采购制度则是采购政策、采购方式、采购程序和组织形式等一系列政府采购管理规范的总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权责发生制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以取得收取款项的权利或支付款项的义务为标准来确定本期收入和支出的一种会计制度。凡是在本期已实现的收入和已发生的或应当负担的费用，无论款项是否收付，都应作为本期的收入和费用处理；凡是不属于本期的收入和费用，即使款项已经在本期收付，也不作为本期的收入和费用处理。权责发生制能够正确地反映各期的成本和盈亏情况，有利于真实地反映政府整体财务状况和可持续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收付实现制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以款项的实际收付为标准来确定本期收入和支出的一种会计制度。凡是在本期内实际收到或付出的一切款项，无论其发生时间早晚或是否应由本期承担，均作为本期的收入和支出处理。收付实现制能够真实地反映当年的预算收支实际执行结果，既能避免预算上的虚假平衡，又便于资金调度和统筹使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基本支出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是指各部门、各单位为保障其机构正常运转、完成日常工作任务所发生的支出，包括人员经费和公用经费。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是指各部门、各单位为完成其特定的工作任务和事业发展目标所发生的支出。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专项转移支付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是指上级政府为了实现特定的经济和社会发展目标给予下级政府，并由下级政府按照上级政府规定的用途安排使用的预算资金。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财政管理体制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是指国家在中央和地方以及地方各级政府之间，划分财政收支范围和财政管理职责与权限的一项根本制度。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财政承受能力评估制度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根据各地区综合财力、“三保”和其他刚性支出等客观数据，按照统一公式测算，准确反映财政可承受能力规模和水平，对影响财政承受能力的重大事项实行动态管理，避免地方超越经济社会发展阶段和财力，盲目出台增支政策或项目，增强财政可持续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项目全生命周期管理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是指以项目为主线开展预算管理，将前期谋划、项目储备、预算编制、项目实施、项目调整、项目终止等环节串联，动态反映和控制项目预算管理全过程，实现顺向可控、逆向可追溯。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养老保险省级统筹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企业养老保险由省一级有关政府部门统一管理的制度，具体包括统一企业养老保险政策、统一基金收支管理、统一基金预算管理、统一责任分担机制、统一集中信息系统、统一经办管理服务和统一激励约束机制等七方面内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地方政府债务余额实行限额管理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债务限额由财政部在全国人民代表大会或者其常务委员会批准的总限额内，根据各地区债务风险、财力状况等因素，并考虑国家宏观调控政策等需要，提出方案报国务院批准。各省、自治区、直辖市的政府债务余额不得突破国务院批准的限额。</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地方政府债务余额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由地方政府及其所属预算单位举借尚未还清的政府债务累计额</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一般债券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是指列入一般公共预算用于没有收益的公益性事业发展，以税收等一般公共预算收入偿还的债券。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专项债券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是指列入政府性基金预算用于有收益的公益性事业发展，以项目对应的政府性基金收入或专项收入偿还的债券。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再融资债券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专指用于置换到期政府债券本金发行的政府债券。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新增债券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于补充资金建设新的经济社会民生项目，新增债券直接增加债务规模，募集的资金主要用于公益性资本支出并严格控制安排能够通过市场化方式筹资的投资项目，优先用于保障在建项目后续融资，不得用于经常性支出，坚决杜绝用于楼堂馆所等中央明令禁止的项目支出，包括新增一般债券和新增专项债券。</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留抵退税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税实行链条抵扣机制，由于政策性因素和经营性因素会导致增值税进项税额大于销项税额并持续结转累积而形成的不能及时抵扣的税额。留抵退税就是把增值税期末未抵扣完的税款退还给纳税人，增加企业当期现金流、缓解企业的资金压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政府性融资担保机构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是指依法设立，由政府及其授权机构出资并实际控股，以服务小微企业和“三农”主体为主要经营目标的融资担保、再担保机构。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“一事一议”村内道路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2012年起，为解决我省农村百姓出行难问题，省政府决定设立“一事一议”财政奖补资金，主要用于村内道路建设。其中，路基改造由村民通过筹资筹劳等完成，各级财政对路面工程给予奖补，奖补标准为80元/平方米，其中省财政承担80%，市县级财政承担20%。具体项目通过村民民主议事、村委会申请、乡镇政府审核后，由县级政府审定并实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美丽乡村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我省开始实施美丽乡村建设，主要在村内道路硬化基础上，开展村庄亮化、卫生净化、环境美化、村屯绿化、管理优化等建设。各级财政奖补标准为100万元/村，其中省以上财政承担70%，市县财政承担30%。具体项目通过村民民主议事、村委会申请、乡镇政府审核后，由县级政府审定并实施。2023年起，按照党的二十大精神“美丽乡村”调整为“宜居宜业和美乡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内控管理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是财政系统内部通过识别、分析、 评估财政业务及管理中的各类风险，制定、完善并实施一系列制度、流程和方法，从而有效防范和管控风险，实现内部控制目标的动态过程和机制。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Tk0ZjNiMzdhYzZlNmE2ZWRlOWJiMWY1YTI0ZTcifQ=="/>
  </w:docVars>
  <w:rsids>
    <w:rsidRoot w:val="00000000"/>
    <w:rsid w:val="4B1A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2023-01-28T06:20:45Z</dcterms:created>
  <dc:creator>admin</dc:creator>
  <cp:lastModifiedBy>WPS_1671076328</cp:lastModifiedBy>
  <dcterms:modified xsi:type="dcterms:W3CDTF">2023-01-28T06:21:01Z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5F753CD41F3140B3B6E3AFBA26C656E5</vt:lpwstr>
  </property>
</Properties>
</file>